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99" w:rsidRPr="00CD2CCD" w:rsidRDefault="00775C99" w:rsidP="00B902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DFKai-SB" w:hAnsi="Arial" w:cs="Arial"/>
          <w:b/>
          <w:color w:val="000000"/>
          <w:lang w:eastAsia="zh-TW"/>
        </w:rPr>
      </w:pPr>
      <w:r w:rsidRPr="00EF1CD8">
        <w:rPr>
          <w:rFonts w:ascii="Arial" w:eastAsia="DFKai-SB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620"/>
        <w:gridCol w:w="2906"/>
      </w:tblGrid>
      <w:tr w:rsidR="00775C99" w:rsidRPr="00DB29DE" w:rsidTr="00A347B9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775C99" w:rsidRPr="00DB29DE" w:rsidRDefault="00775C99" w:rsidP="00B267B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Arial Unicode MS" w:hAnsi="Arial" w:cs="Arial"/>
                <w:b/>
                <w:bCs/>
                <w:szCs w:val="24"/>
                <w:lang w:eastAsia="zh-TW"/>
              </w:rPr>
              <w:t>Course Title</w:t>
            </w:r>
            <w:r w:rsidRPr="00DB29DE">
              <w:rPr>
                <w:rFonts w:ascii="Arial" w:eastAsia="Arial Unicode MS" w:hAnsi="Arial" w:cs="Arial"/>
                <w:szCs w:val="24"/>
                <w:lang w:eastAsia="zh-TW"/>
              </w:rPr>
              <w:t>：</w:t>
            </w:r>
            <w:r w:rsidR="00B267BF">
              <w:rPr>
                <w:rFonts w:ascii="Arial" w:eastAsia="DFKai-SB" w:hAnsi="Arial" w:cs="Arial"/>
                <w:szCs w:val="24"/>
              </w:rPr>
              <w:t>Nanomaterial Process</w:t>
            </w:r>
          </w:p>
        </w:tc>
      </w:tr>
      <w:tr w:rsidR="00775C99" w:rsidRPr="00DB29DE" w:rsidTr="002A6922">
        <w:trPr>
          <w:cantSplit/>
          <w:trHeight w:hRule="exact" w:val="879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Credits/Hours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D64285" w:rsidP="002A692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3</w:t>
            </w:r>
            <w:r w:rsidR="002A6922"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/3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200FAC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158042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□</w:t>
            </w:r>
            <w:r w:rsidRPr="00DB29D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■Elective</w:t>
            </w:r>
          </w:p>
        </w:tc>
      </w:tr>
      <w:tr w:rsidR="00775C99" w:rsidRPr="00DB29DE" w:rsidTr="00865665">
        <w:trPr>
          <w:cantSplit/>
          <w:trHeight w:hRule="exact" w:val="3862"/>
          <w:jc w:val="center"/>
        </w:trPr>
        <w:tc>
          <w:tcPr>
            <w:tcW w:w="9386" w:type="dxa"/>
            <w:gridSpan w:val="5"/>
          </w:tcPr>
          <w:p w:rsidR="00296270" w:rsidRPr="00DB29DE" w:rsidRDefault="00775C99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:rsidR="00775C99" w:rsidRPr="00DB29DE" w:rsidRDefault="007A33B3" w:rsidP="008C6F9B">
            <w:pPr>
              <w:autoSpaceDE w:val="0"/>
              <w:autoSpaceDN w:val="0"/>
              <w:adjustRightInd w:val="0"/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This course covers a variaty of 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fabrication methods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for fabricating </w:t>
            </w:r>
            <w:r w:rsidR="00455CF9">
              <w:rPr>
                <w:rFonts w:ascii="Arial" w:eastAsia="DFKai-SB" w:hAnsi="Arial" w:cs="Arial"/>
                <w:szCs w:val="24"/>
                <w:lang w:eastAsia="zh-TW"/>
              </w:rPr>
              <w:t xml:space="preserve">nanomaterials. The methods include top-down fabrication (e.g., lithography, </w:t>
            </w:r>
            <w:r w:rsidR="00455CF9">
              <w:rPr>
                <w:rFonts w:ascii="Arial" w:hAnsi="Arial" w:cs="Arial"/>
                <w:bCs/>
                <w:iCs/>
                <w:szCs w:val="24"/>
                <w:lang w:eastAsia="zh-TW"/>
              </w:rPr>
              <w:t>b</w:t>
            </w:r>
            <w:r w:rsidR="00455CF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all milling, </w:t>
            </w:r>
            <w:r w:rsidR="00455CF9">
              <w:rPr>
                <w:rFonts w:ascii="Arial" w:hAnsi="Arial" w:cs="Arial"/>
                <w:bCs/>
                <w:iCs/>
                <w:szCs w:val="24"/>
                <w:lang w:eastAsia="zh-TW"/>
              </w:rPr>
              <w:t>m</w:t>
            </w:r>
            <w:r w:rsidR="00455CF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achining</w:t>
            </w:r>
            <w:r w:rsidR="00455CF9">
              <w:rPr>
                <w:rFonts w:ascii="Arial" w:hAnsi="Arial" w:cs="Arial"/>
                <w:bCs/>
                <w:iCs/>
                <w:szCs w:val="24"/>
                <w:lang w:eastAsia="zh-TW"/>
              </w:rPr>
              <w:t>, s</w:t>
            </w:r>
            <w:r w:rsidR="00455CF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puttering</w:t>
            </w:r>
            <w:r w:rsidR="00455CF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etc.) and </w:t>
            </w:r>
            <w:r w:rsidR="00455CF9">
              <w:rPr>
                <w:rFonts w:ascii="Arial" w:hAnsi="Arial" w:cs="Arial"/>
                <w:bCs/>
                <w:szCs w:val="24"/>
              </w:rPr>
              <w:t>b</w:t>
            </w:r>
            <w:r w:rsidR="00455CF9" w:rsidRPr="00936F59">
              <w:rPr>
                <w:rFonts w:ascii="Arial" w:hAnsi="Arial" w:cs="Arial"/>
                <w:bCs/>
                <w:szCs w:val="24"/>
              </w:rPr>
              <w:t>ottom-up fabrication</w:t>
            </w:r>
            <w:r w:rsidR="00455CF9">
              <w:rPr>
                <w:rFonts w:ascii="Arial" w:hAnsi="Arial" w:cs="Arial"/>
                <w:bCs/>
                <w:szCs w:val="24"/>
              </w:rPr>
              <w:t xml:space="preserve"> (e.g., </w:t>
            </w:r>
            <w:r w:rsidR="00455CF9">
              <w:rPr>
                <w:rFonts w:ascii="Arial" w:hAnsi="Arial" w:cs="Arial"/>
                <w:szCs w:val="24"/>
              </w:rPr>
              <w:t xml:space="preserve">CVD, </w:t>
            </w:r>
            <w:r w:rsidR="00455CF9">
              <w:rPr>
                <w:rFonts w:ascii="Arial" w:hAnsi="Arial" w:cs="Arial"/>
                <w:szCs w:val="24"/>
              </w:rPr>
              <w:t>h</w:t>
            </w:r>
            <w:r w:rsidR="00455CF9" w:rsidRPr="00D04098">
              <w:rPr>
                <w:rFonts w:ascii="Arial" w:hAnsi="Arial" w:cs="Arial"/>
                <w:szCs w:val="24"/>
              </w:rPr>
              <w:t xml:space="preserve">ydrothermal method, </w:t>
            </w:r>
            <w:r w:rsidR="00455CF9">
              <w:rPr>
                <w:rFonts w:ascii="Arial" w:hAnsi="Arial" w:cs="Arial"/>
                <w:szCs w:val="24"/>
              </w:rPr>
              <w:t>c</w:t>
            </w:r>
            <w:r w:rsidR="00455CF9" w:rsidRPr="00D04098">
              <w:rPr>
                <w:rFonts w:ascii="Arial" w:hAnsi="Arial" w:cs="Arial"/>
                <w:szCs w:val="24"/>
              </w:rPr>
              <w:t xml:space="preserve">o-precipitation method, </w:t>
            </w:r>
            <w:r w:rsidR="00455CF9">
              <w:rPr>
                <w:rFonts w:ascii="Arial" w:hAnsi="Arial" w:cs="Arial"/>
                <w:szCs w:val="24"/>
              </w:rPr>
              <w:t>s</w:t>
            </w:r>
            <w:r w:rsidR="00455CF9" w:rsidRPr="00D04098">
              <w:rPr>
                <w:rFonts w:ascii="Arial" w:hAnsi="Arial" w:cs="Arial"/>
                <w:szCs w:val="24"/>
              </w:rPr>
              <w:t>ol-gel method</w:t>
            </w:r>
            <w:r w:rsidR="00455CF9">
              <w:rPr>
                <w:rFonts w:ascii="Arial" w:hAnsi="Arial" w:cs="Arial"/>
                <w:szCs w:val="24"/>
              </w:rPr>
              <w:t>, self-assembly on noble metal</w:t>
            </w:r>
            <w:r w:rsidR="00142F69">
              <w:rPr>
                <w:rFonts w:ascii="Arial" w:hAnsi="Arial" w:cs="Arial"/>
                <w:szCs w:val="24"/>
              </w:rPr>
              <w:t xml:space="preserve">). </w:t>
            </w:r>
            <w:r w:rsidR="00865665">
              <w:rPr>
                <w:rFonts w:ascii="Arial" w:hAnsi="Arial" w:cs="Arial"/>
                <w:szCs w:val="24"/>
              </w:rPr>
              <w:t>E</w:t>
            </w:r>
            <w:r w:rsidR="00142F69">
              <w:rPr>
                <w:rFonts w:ascii="Arial" w:hAnsi="Arial" w:cs="Arial"/>
                <w:szCs w:val="24"/>
              </w:rPr>
              <w:t xml:space="preserve">ach fabrication method is presented </w:t>
            </w:r>
            <w:r w:rsidR="00865665">
              <w:rPr>
                <w:rFonts w:ascii="Arial" w:hAnsi="Arial" w:cs="Arial"/>
                <w:szCs w:val="24"/>
              </w:rPr>
              <w:t>with</w:t>
            </w:r>
            <w:r w:rsidR="00142F69">
              <w:rPr>
                <w:rFonts w:ascii="Arial" w:hAnsi="Arial" w:cs="Arial"/>
                <w:szCs w:val="24"/>
              </w:rPr>
              <w:t xml:space="preserve"> principle</w:t>
            </w:r>
            <w:r w:rsidR="00865665">
              <w:rPr>
                <w:rFonts w:ascii="Arial" w:hAnsi="Arial" w:cs="Arial"/>
                <w:szCs w:val="24"/>
              </w:rPr>
              <w:t>, its’ advantages/disadvantages,</w:t>
            </w:r>
            <w:r w:rsidR="00142F69">
              <w:rPr>
                <w:rFonts w:ascii="Arial" w:hAnsi="Arial" w:cs="Arial"/>
                <w:szCs w:val="24"/>
              </w:rPr>
              <w:t xml:space="preserve"> example nanomaterials</w:t>
            </w:r>
            <w:r w:rsidR="00865665">
              <w:rPr>
                <w:rFonts w:ascii="Arial" w:hAnsi="Arial" w:cs="Arial"/>
                <w:szCs w:val="24"/>
              </w:rPr>
              <w:t>, and demonstrated</w:t>
            </w:r>
            <w:r w:rsidR="00142F69">
              <w:rPr>
                <w:rFonts w:ascii="Arial" w:hAnsi="Arial" w:cs="Arial"/>
                <w:szCs w:val="24"/>
              </w:rPr>
              <w:t xml:space="preserve"> applications</w:t>
            </w:r>
            <w:r w:rsidR="00865665">
              <w:rPr>
                <w:rFonts w:ascii="Arial" w:hAnsi="Arial" w:cs="Arial"/>
                <w:szCs w:val="24"/>
              </w:rPr>
              <w:t>. Finally, this course also includes the fundamental physics to understand the exotic electronic and optical properties of nanostructured material</w:t>
            </w:r>
            <w:r w:rsidR="008C6F9B">
              <w:rPr>
                <w:rFonts w:ascii="Arial" w:hAnsi="Arial" w:cs="Arial"/>
                <w:szCs w:val="24"/>
              </w:rPr>
              <w:t>s, and</w:t>
            </w:r>
            <w:r w:rsidR="00865665">
              <w:rPr>
                <w:rFonts w:ascii="Arial" w:hAnsi="Arial" w:cs="Arial"/>
                <w:szCs w:val="24"/>
              </w:rPr>
              <w:t xml:space="preserve"> </w:t>
            </w:r>
            <w:r w:rsidR="008C6F9B">
              <w:rPr>
                <w:rFonts w:ascii="Arial" w:hAnsi="Arial" w:cs="Arial"/>
                <w:szCs w:val="24"/>
              </w:rPr>
              <w:t>s</w:t>
            </w:r>
            <w:r w:rsidR="008C6F9B" w:rsidRPr="00142F69">
              <w:rPr>
                <w:rFonts w:ascii="Arial" w:hAnsi="Arial" w:cs="Arial"/>
                <w:szCs w:val="24"/>
              </w:rPr>
              <w:t>ingle electron tunneling in</w:t>
            </w:r>
            <w:r w:rsidR="008C6F9B">
              <w:rPr>
                <w:rFonts w:ascii="Arial" w:hAnsi="Arial" w:cs="Arial"/>
                <w:szCs w:val="24"/>
              </w:rPr>
              <w:t xml:space="preserve"> </w:t>
            </w:r>
            <w:r w:rsidR="00865665">
              <w:rPr>
                <w:rFonts w:ascii="Arial" w:hAnsi="Arial" w:cs="Arial"/>
                <w:szCs w:val="24"/>
              </w:rPr>
              <w:t xml:space="preserve">single electron transitor and quantum dots, and </w:t>
            </w:r>
            <w:r w:rsidR="00865665">
              <w:rPr>
                <w:rFonts w:ascii="Arial" w:hAnsi="Arial" w:cs="Arial"/>
                <w:szCs w:val="24"/>
              </w:rPr>
              <w:t>TiO</w:t>
            </w:r>
            <w:r w:rsidR="00865665" w:rsidRPr="00865665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865665">
              <w:rPr>
                <w:rFonts w:ascii="Arial" w:hAnsi="Arial" w:cs="Arial"/>
                <w:szCs w:val="24"/>
              </w:rPr>
              <w:t>-based</w:t>
            </w:r>
            <w:r w:rsidR="00865665">
              <w:rPr>
                <w:rFonts w:ascii="Arial" w:hAnsi="Arial" w:cs="Arial"/>
                <w:szCs w:val="24"/>
              </w:rPr>
              <w:t xml:space="preserve"> photocatalysts</w:t>
            </w:r>
            <w:r w:rsidR="008C6F9B">
              <w:rPr>
                <w:rFonts w:ascii="Arial" w:hAnsi="Arial" w:cs="Arial"/>
                <w:szCs w:val="24"/>
              </w:rPr>
              <w:t xml:space="preserve"> and applications.</w:t>
            </w:r>
            <w:bookmarkStart w:id="0" w:name="_GoBack"/>
            <w:bookmarkEnd w:id="0"/>
            <w:r w:rsidR="00455CF9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</w:p>
        </w:tc>
      </w:tr>
      <w:tr w:rsidR="00775C99" w:rsidRPr="00DB29DE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Topics</w:t>
            </w:r>
          </w:p>
        </w:tc>
      </w:tr>
      <w:tr w:rsidR="00775C99" w:rsidRPr="00DB29DE" w:rsidTr="008C0C1F">
        <w:trPr>
          <w:cantSplit/>
          <w:trHeight w:val="54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936F59" w:rsidRDefault="00F93DA4" w:rsidP="009D460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936F59">
              <w:rPr>
                <w:rFonts w:ascii="Arial" w:hAnsi="Arial" w:cs="Arial"/>
                <w:bCs/>
                <w:szCs w:val="24"/>
              </w:rPr>
              <w:t>Introduction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3809E6" w:rsidRDefault="00F93DA4" w:rsidP="00F93DA4">
            <w:pPr>
              <w:rPr>
                <w:rFonts w:ascii="Arial" w:hAnsi="Arial" w:cs="Arial"/>
                <w:szCs w:val="24"/>
              </w:rPr>
            </w:pPr>
            <w:r w:rsidRPr="00936F59">
              <w:rPr>
                <w:rFonts w:ascii="Arial" w:hAnsi="Arial" w:cs="Arial"/>
                <w:szCs w:val="24"/>
              </w:rPr>
              <w:t xml:space="preserve">- </w:t>
            </w:r>
            <w:r w:rsidR="003809E6">
              <w:rPr>
                <w:rFonts w:ascii="Arial" w:hAnsi="Arial" w:cs="Arial"/>
                <w:szCs w:val="24"/>
              </w:rPr>
              <w:t>Introduction to nanomaterials, synthesis methods, and applications.</w:t>
            </w:r>
          </w:p>
          <w:p w:rsidR="009D4605" w:rsidRPr="00936F59" w:rsidRDefault="003809E6" w:rsidP="003809E6">
            <w:pPr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F93DA4" w:rsidRPr="00936F59">
              <w:rPr>
                <w:rFonts w:ascii="Arial" w:hAnsi="Arial" w:cs="Arial"/>
                <w:szCs w:val="24"/>
              </w:rPr>
              <w:t>Introduction to nanostructured materials mainly from the perspective of nanoelectronics</w:t>
            </w:r>
            <w:r w:rsidR="00936F59" w:rsidRPr="00936F59">
              <w:rPr>
                <w:rFonts w:ascii="Arial" w:hAnsi="Arial" w:cs="Arial"/>
                <w:szCs w:val="24"/>
              </w:rPr>
              <w:t xml:space="preserve">; </w:t>
            </w:r>
            <w:r w:rsidR="00F93DA4" w:rsidRPr="00936F59">
              <w:rPr>
                <w:rFonts w:ascii="Arial" w:hAnsi="Arial" w:cs="Arial"/>
                <w:szCs w:val="24"/>
              </w:rPr>
              <w:t>brief history of the microelectronics industry</w:t>
            </w:r>
            <w:r w:rsidR="00936F59" w:rsidRPr="00936F59">
              <w:rPr>
                <w:rFonts w:ascii="Arial" w:hAnsi="Arial" w:cs="Arial"/>
                <w:szCs w:val="24"/>
              </w:rPr>
              <w:t xml:space="preserve">; </w:t>
            </w:r>
            <w:r w:rsidR="00F93DA4" w:rsidRPr="00936F59">
              <w:rPr>
                <w:rFonts w:ascii="Arial" w:hAnsi="Arial" w:cs="Arial"/>
                <w:szCs w:val="24"/>
              </w:rPr>
              <w:t>specifications and fabrication of wafers (mainly Si), clean rooms</w:t>
            </w:r>
            <w:r w:rsidR="00936F59" w:rsidRPr="00936F59">
              <w:rPr>
                <w:rFonts w:ascii="Arial" w:hAnsi="Arial" w:cs="Arial"/>
                <w:szCs w:val="24"/>
              </w:rPr>
              <w:t>.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936F59" w:rsidRDefault="003809E6" w:rsidP="003809E6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szCs w:val="24"/>
              </w:rPr>
              <w:t>T</w:t>
            </w:r>
            <w:r w:rsidR="00F93DA4" w:rsidRPr="00936F59">
              <w:rPr>
                <w:rFonts w:ascii="Arial" w:hAnsi="Arial" w:cs="Arial"/>
                <w:bCs/>
                <w:szCs w:val="24"/>
              </w:rPr>
              <w:t>op-down fabrication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9D4605" w:rsidRPr="00936F59" w:rsidRDefault="00F93DA4" w:rsidP="00F93DA4">
            <w:pPr>
              <w:rPr>
                <w:rFonts w:ascii="Arial" w:eastAsia="DFKai-SB" w:hAnsi="Arial" w:cs="Arial"/>
                <w:szCs w:val="24"/>
                <w:lang w:eastAsia="zh-TW"/>
              </w:rPr>
            </w:pPr>
            <w:r w:rsidRPr="00936F59">
              <w:rPr>
                <w:rFonts w:ascii="Arial" w:hAnsi="Arial" w:cs="Arial"/>
                <w:szCs w:val="24"/>
              </w:rPr>
              <w:t>optical lithography, photomasks, diffraction limited resolution, resolution enhancement tools, lithography types (contact, proximity, projection), optical systems and light sources, mask aligners and steppers</w:t>
            </w:r>
            <w:r w:rsidR="00865665">
              <w:rPr>
                <w:rFonts w:ascii="Arial" w:hAnsi="Arial" w:cs="Arial"/>
                <w:szCs w:val="24"/>
              </w:rPr>
              <w:t>.</w:t>
            </w:r>
          </w:p>
        </w:tc>
      </w:tr>
      <w:tr w:rsidR="00C33640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C33640" w:rsidRPr="00936F59" w:rsidRDefault="00F93DA4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936F59">
              <w:rPr>
                <w:rFonts w:ascii="Arial" w:hAnsi="Arial" w:cs="Arial"/>
                <w:bCs/>
                <w:szCs w:val="24"/>
              </w:rPr>
              <w:t>Top-down fabrication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93DA4" w:rsidRPr="00936F59" w:rsidRDefault="00F93DA4" w:rsidP="00D04098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936F59">
              <w:rPr>
                <w:rFonts w:ascii="Arial" w:eastAsia="DFKai-SB" w:hAnsi="Arial" w:cs="Arial"/>
                <w:szCs w:val="24"/>
                <w:lang w:eastAsia="zh-TW"/>
              </w:rPr>
              <w:t>Introduction</w:t>
            </w:r>
            <w:r w:rsidR="00936F59" w:rsidRPr="00936F59">
              <w:rPr>
                <w:rFonts w:ascii="Arial" w:eastAsia="DFKai-SB" w:hAnsi="Arial" w:cs="Arial"/>
                <w:szCs w:val="24"/>
                <w:lang w:eastAsia="zh-TW"/>
              </w:rPr>
              <w:t xml:space="preserve">, </w:t>
            </w:r>
            <w:r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Ball milling</w:t>
            </w:r>
            <w:r w:rsidR="00455CF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Machining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 (</w:t>
            </w:r>
            <w:r w:rsidR="00D04098">
              <w:rPr>
                <w:rFonts w:ascii="Arial" w:hAnsi="Arial" w:cs="Arial"/>
                <w:szCs w:val="24"/>
                <w:lang w:eastAsia="zh-TW"/>
              </w:rPr>
              <w:t>f</w:t>
            </w:r>
            <w:r w:rsidR="00936F59" w:rsidRPr="00936F59">
              <w:rPr>
                <w:rFonts w:ascii="Arial" w:hAnsi="Arial" w:cs="Arial"/>
                <w:szCs w:val="24"/>
                <w:lang w:eastAsia="zh-TW"/>
              </w:rPr>
              <w:t>ocused ion beams</w:t>
            </w:r>
            <w:r w:rsidR="00936F59" w:rsidRPr="00936F59">
              <w:rPr>
                <w:rFonts w:ascii="Arial" w:hAnsi="Arial" w:cs="Arial"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szCs w:val="24"/>
                <w:lang w:eastAsia="zh-TW"/>
              </w:rPr>
              <w:t>LASER ablation synthesis</w:t>
            </w:r>
            <w:r w:rsidR="00936F59" w:rsidRPr="00936F59">
              <w:rPr>
                <w:rFonts w:ascii="Arial" w:hAnsi="Arial" w:cs="Arial"/>
                <w:szCs w:val="24"/>
                <w:lang w:eastAsia="zh-TW"/>
              </w:rPr>
              <w:t xml:space="preserve">), 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Sputtering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iCs/>
                <w:szCs w:val="24"/>
              </w:rPr>
              <w:t>Thermal evaporation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Plasma-assisted exfoliation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Arc discharge method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 xml:space="preserve">, </w:t>
            </w:r>
            <w:r w:rsidR="00936F59" w:rsidRPr="00936F59">
              <w:rPr>
                <w:rFonts w:ascii="Arial" w:hAnsi="Arial" w:cs="Arial"/>
                <w:bCs/>
                <w:iCs/>
                <w:szCs w:val="24"/>
                <w:lang w:eastAsia="zh-TW"/>
              </w:rPr>
              <w:t>Electro-spinning</w:t>
            </w:r>
          </w:p>
        </w:tc>
      </w:tr>
      <w:tr w:rsidR="00DA43EA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DA43EA" w:rsidRPr="00936F59" w:rsidRDefault="00F93DA4" w:rsidP="002E319C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936F59">
              <w:rPr>
                <w:rFonts w:ascii="Arial" w:hAnsi="Arial" w:cs="Arial"/>
                <w:bCs/>
                <w:szCs w:val="24"/>
              </w:rPr>
              <w:t>B</w:t>
            </w:r>
            <w:r w:rsidRPr="00936F59">
              <w:rPr>
                <w:rFonts w:ascii="Arial" w:hAnsi="Arial" w:cs="Arial"/>
                <w:bCs/>
                <w:szCs w:val="24"/>
              </w:rPr>
              <w:t>ottom-up fabrication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DA43EA" w:rsidRPr="00936F59" w:rsidRDefault="00D04098" w:rsidP="00D04098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 xml:space="preserve">CVD, </w:t>
            </w:r>
            <w:r w:rsidRPr="00D04098">
              <w:rPr>
                <w:rFonts w:ascii="Arial" w:hAnsi="Arial" w:cs="Arial"/>
                <w:szCs w:val="24"/>
              </w:rPr>
              <w:t>Hydrothermal method</w:t>
            </w:r>
            <w:r w:rsidRPr="00D04098">
              <w:rPr>
                <w:rFonts w:ascii="Arial" w:hAnsi="Arial" w:cs="Arial"/>
                <w:szCs w:val="24"/>
              </w:rPr>
              <w:t xml:space="preserve">, </w:t>
            </w:r>
            <w:r w:rsidRPr="00D04098">
              <w:rPr>
                <w:rFonts w:ascii="Arial" w:hAnsi="Arial" w:cs="Arial"/>
                <w:szCs w:val="24"/>
              </w:rPr>
              <w:t>Co-precipitation method</w:t>
            </w:r>
            <w:r w:rsidRPr="00D04098">
              <w:rPr>
                <w:rFonts w:ascii="Arial" w:hAnsi="Arial" w:cs="Arial"/>
                <w:szCs w:val="24"/>
              </w:rPr>
              <w:t xml:space="preserve">, </w:t>
            </w:r>
            <w:r w:rsidRPr="00D04098">
              <w:rPr>
                <w:rFonts w:ascii="Arial" w:hAnsi="Arial" w:cs="Arial"/>
                <w:szCs w:val="24"/>
              </w:rPr>
              <w:t>Sol-gel method</w:t>
            </w:r>
            <w:r w:rsidR="003809E6">
              <w:rPr>
                <w:rFonts w:ascii="Arial" w:hAnsi="Arial" w:cs="Arial"/>
                <w:szCs w:val="24"/>
              </w:rPr>
              <w:t>, T</w:t>
            </w:r>
            <w:r w:rsidR="003809E6" w:rsidRPr="003809E6">
              <w:rPr>
                <w:rFonts w:ascii="Arial" w:hAnsi="Arial" w:cs="Arial"/>
                <w:szCs w:val="24"/>
              </w:rPr>
              <w:t>emplate-based synthesis</w:t>
            </w:r>
          </w:p>
        </w:tc>
      </w:tr>
      <w:tr w:rsidR="00DA43EA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DA43EA" w:rsidRPr="00936F59" w:rsidRDefault="00F93DA4" w:rsidP="002E319C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936F59">
              <w:rPr>
                <w:rFonts w:ascii="Arial" w:hAnsi="Arial" w:cs="Arial"/>
                <w:bCs/>
                <w:szCs w:val="24"/>
              </w:rPr>
              <w:lastRenderedPageBreak/>
              <w:t>Bottom-up fabrication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2E7737" w:rsidRDefault="007A33B3" w:rsidP="00F93D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2E7737" w:rsidRPr="002E7737">
              <w:rPr>
                <w:rFonts w:ascii="Arial" w:hAnsi="Arial" w:cs="Arial"/>
                <w:szCs w:val="24"/>
              </w:rPr>
              <w:t>Surface functionalization, various form of assembly, self-assembled monolayers (SAMs) on noble metals (Au) , synthesis of Au nanoparticles (NPs), CdSe NPs, semiconductor nanowires</w:t>
            </w:r>
            <w:r w:rsidR="002E7737">
              <w:rPr>
                <w:rFonts w:ascii="Arial" w:hAnsi="Arial" w:cs="Arial"/>
                <w:szCs w:val="24"/>
              </w:rPr>
              <w:t>.</w:t>
            </w:r>
          </w:p>
          <w:p w:rsidR="002E7737" w:rsidRPr="002E7737" w:rsidRDefault="007A33B3" w:rsidP="002E77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F93DA4" w:rsidRPr="00936F59">
              <w:rPr>
                <w:rFonts w:ascii="Arial" w:hAnsi="Arial" w:cs="Arial"/>
                <w:szCs w:val="24"/>
              </w:rPr>
              <w:t>Carbon based nanomaterials (graphene, carbon nanotubes, fullerenes), metal chalcogenite and BN 2D materials and nanotubes</w:t>
            </w:r>
            <w:r w:rsidR="002E7737">
              <w:rPr>
                <w:rFonts w:ascii="Arial" w:hAnsi="Arial" w:cs="Arial"/>
                <w:szCs w:val="24"/>
              </w:rPr>
              <w:t>.</w:t>
            </w:r>
          </w:p>
        </w:tc>
      </w:tr>
      <w:tr w:rsidR="003809E6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809E6" w:rsidRPr="00936F59" w:rsidRDefault="00142F69" w:rsidP="007A33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Properties and Applications</w:t>
            </w:r>
            <w:r w:rsidR="007A33B3">
              <w:rPr>
                <w:rFonts w:ascii="Arial" w:hAnsi="Arial" w:cs="Arial"/>
                <w:szCs w:val="24"/>
              </w:rPr>
              <w:t xml:space="preserve"> </w:t>
            </w:r>
            <w:r w:rsidR="007A33B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142F69" w:rsidRDefault="00142F69" w:rsidP="003809E6">
            <w:pPr>
              <w:rPr>
                <w:rFonts w:ascii="Arial" w:hAnsi="Arial" w:cs="Arial"/>
                <w:szCs w:val="24"/>
              </w:rPr>
            </w:pPr>
            <w:r w:rsidRPr="00142F69">
              <w:rPr>
                <w:rFonts w:ascii="Arial" w:hAnsi="Arial" w:cs="Arial"/>
                <w:szCs w:val="24"/>
              </w:rPr>
              <w:t xml:space="preserve">- </w:t>
            </w:r>
            <w:r w:rsidRPr="00142F69">
              <w:rPr>
                <w:rFonts w:ascii="Arial" w:hAnsi="Arial" w:cs="Arial"/>
                <w:szCs w:val="24"/>
              </w:rPr>
              <w:t>Electronic (band) structure of materials (brief reminder), quantum confinement (using a simple particle-in-a-box model), implications for electronic and optical properties of e.g. quantum wells and quantum dots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142F69" w:rsidRDefault="00142F69" w:rsidP="003809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142F69">
              <w:rPr>
                <w:rFonts w:ascii="Arial" w:hAnsi="Arial" w:cs="Arial"/>
                <w:szCs w:val="24"/>
              </w:rPr>
              <w:t>Single electron tunneling in single electron transistors and quantum dots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7A33B3" w:rsidRPr="007A33B3" w:rsidRDefault="00142F69" w:rsidP="00142F6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7A33B3">
              <w:rPr>
                <w:rFonts w:ascii="Arial" w:hAnsi="Arial" w:cs="Arial"/>
                <w:szCs w:val="24"/>
              </w:rPr>
              <w:t>TiO</w:t>
            </w:r>
            <w:r w:rsidR="007A33B3" w:rsidRPr="00865665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7A33B3">
              <w:rPr>
                <w:rFonts w:ascii="Arial" w:hAnsi="Arial" w:cs="Arial"/>
                <w:szCs w:val="24"/>
              </w:rPr>
              <w:t>-based nanomaterials for photocatalytic degradation of pollutants/contaminants.</w:t>
            </w:r>
          </w:p>
        </w:tc>
      </w:tr>
    </w:tbl>
    <w:p w:rsidR="00775C99" w:rsidRDefault="00775C99">
      <w:pPr>
        <w:rPr>
          <w:lang w:eastAsia="zh-TW"/>
        </w:rPr>
      </w:pPr>
    </w:p>
    <w:sectPr w:rsidR="00775C99" w:rsidSect="0038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D2" w:rsidRDefault="005158D2" w:rsidP="002465D2">
      <w:pPr>
        <w:spacing w:after="0"/>
      </w:pPr>
      <w:r>
        <w:separator/>
      </w:r>
    </w:p>
  </w:endnote>
  <w:endnote w:type="continuationSeparator" w:id="0">
    <w:p w:rsidR="005158D2" w:rsidRDefault="005158D2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D2" w:rsidRDefault="005158D2" w:rsidP="002465D2">
      <w:pPr>
        <w:spacing w:after="0"/>
      </w:pPr>
      <w:r>
        <w:separator/>
      </w:r>
    </w:p>
  </w:footnote>
  <w:footnote w:type="continuationSeparator" w:id="0">
    <w:p w:rsidR="005158D2" w:rsidRDefault="005158D2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54B"/>
    <w:multiLevelType w:val="hybridMultilevel"/>
    <w:tmpl w:val="F522B874"/>
    <w:lvl w:ilvl="0" w:tplc="FE603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05770E4"/>
    <w:multiLevelType w:val="hybridMultilevel"/>
    <w:tmpl w:val="91C01D66"/>
    <w:lvl w:ilvl="0" w:tplc="5AF4D58A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153D52"/>
    <w:multiLevelType w:val="hybridMultilevel"/>
    <w:tmpl w:val="DAEE9B42"/>
    <w:lvl w:ilvl="0" w:tplc="E07A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733DDA"/>
    <w:multiLevelType w:val="hybridMultilevel"/>
    <w:tmpl w:val="D7DA43C8"/>
    <w:lvl w:ilvl="0" w:tplc="E6480B2C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132BAC"/>
    <w:multiLevelType w:val="hybridMultilevel"/>
    <w:tmpl w:val="FAB69FC8"/>
    <w:lvl w:ilvl="0" w:tplc="194273E0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F2C668E"/>
    <w:multiLevelType w:val="hybridMultilevel"/>
    <w:tmpl w:val="9154E77E"/>
    <w:lvl w:ilvl="0" w:tplc="CC2C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B6796"/>
    <w:multiLevelType w:val="hybridMultilevel"/>
    <w:tmpl w:val="F4FC2996"/>
    <w:lvl w:ilvl="0" w:tplc="A05A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LAwtjAxNTMzMzFS0lEKTi0uzszPAykwqgUA++WAaSwAAAA="/>
  </w:docVars>
  <w:rsids>
    <w:rsidRoot w:val="00825104"/>
    <w:rsid w:val="00027082"/>
    <w:rsid w:val="000E57ED"/>
    <w:rsid w:val="00142F69"/>
    <w:rsid w:val="00191A8B"/>
    <w:rsid w:val="001B6DDF"/>
    <w:rsid w:val="00200FAC"/>
    <w:rsid w:val="002465D2"/>
    <w:rsid w:val="002639C3"/>
    <w:rsid w:val="00265A52"/>
    <w:rsid w:val="00296270"/>
    <w:rsid w:val="002A6922"/>
    <w:rsid w:val="002E319C"/>
    <w:rsid w:val="002E7737"/>
    <w:rsid w:val="003278FB"/>
    <w:rsid w:val="003809E6"/>
    <w:rsid w:val="00381301"/>
    <w:rsid w:val="003E7E89"/>
    <w:rsid w:val="003F1203"/>
    <w:rsid w:val="00402AC9"/>
    <w:rsid w:val="004372A3"/>
    <w:rsid w:val="00455CF9"/>
    <w:rsid w:val="004A156E"/>
    <w:rsid w:val="004C7D86"/>
    <w:rsid w:val="004E603E"/>
    <w:rsid w:val="005158D2"/>
    <w:rsid w:val="005D621D"/>
    <w:rsid w:val="005F382D"/>
    <w:rsid w:val="0065128B"/>
    <w:rsid w:val="0065281A"/>
    <w:rsid w:val="006A01C3"/>
    <w:rsid w:val="006A12FF"/>
    <w:rsid w:val="00705B49"/>
    <w:rsid w:val="00764296"/>
    <w:rsid w:val="007647E9"/>
    <w:rsid w:val="00775C99"/>
    <w:rsid w:val="007A33B3"/>
    <w:rsid w:val="00825104"/>
    <w:rsid w:val="0086362F"/>
    <w:rsid w:val="00865665"/>
    <w:rsid w:val="008670C7"/>
    <w:rsid w:val="00895C03"/>
    <w:rsid w:val="008C0C1F"/>
    <w:rsid w:val="008C2E30"/>
    <w:rsid w:val="008C3986"/>
    <w:rsid w:val="008C6F9B"/>
    <w:rsid w:val="008D6633"/>
    <w:rsid w:val="008F685B"/>
    <w:rsid w:val="00936F59"/>
    <w:rsid w:val="009D4605"/>
    <w:rsid w:val="00A347B9"/>
    <w:rsid w:val="00A53B7D"/>
    <w:rsid w:val="00A6702A"/>
    <w:rsid w:val="00AF2DF0"/>
    <w:rsid w:val="00AF5BCC"/>
    <w:rsid w:val="00B267BF"/>
    <w:rsid w:val="00B26B96"/>
    <w:rsid w:val="00B322F2"/>
    <w:rsid w:val="00B51ACD"/>
    <w:rsid w:val="00B90042"/>
    <w:rsid w:val="00B90204"/>
    <w:rsid w:val="00C133E9"/>
    <w:rsid w:val="00C33640"/>
    <w:rsid w:val="00C5562C"/>
    <w:rsid w:val="00C57BC4"/>
    <w:rsid w:val="00CD2CCD"/>
    <w:rsid w:val="00CE481C"/>
    <w:rsid w:val="00D04098"/>
    <w:rsid w:val="00D34587"/>
    <w:rsid w:val="00D64285"/>
    <w:rsid w:val="00D90CE8"/>
    <w:rsid w:val="00D96261"/>
    <w:rsid w:val="00DA43EA"/>
    <w:rsid w:val="00DB29DE"/>
    <w:rsid w:val="00E017EE"/>
    <w:rsid w:val="00E23411"/>
    <w:rsid w:val="00EB469E"/>
    <w:rsid w:val="00EF1CD8"/>
    <w:rsid w:val="00F55A89"/>
    <w:rsid w:val="00F75F9D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98804"/>
  <w15:docId w15:val="{FAF81146-4714-4DFB-9A29-F6D3E0D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6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Le Phuoc Huu</cp:lastModifiedBy>
  <cp:revision>5</cp:revision>
  <cp:lastPrinted>2014-06-17T05:00:00Z</cp:lastPrinted>
  <dcterms:created xsi:type="dcterms:W3CDTF">2023-05-25T04:44:00Z</dcterms:created>
  <dcterms:modified xsi:type="dcterms:W3CDTF">2023-05-25T07:38:00Z</dcterms:modified>
</cp:coreProperties>
</file>